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E1" w:rsidRPr="00543CE1" w:rsidRDefault="00543CE1" w:rsidP="0074378F">
      <w:pPr>
        <w:wordWrap w:val="0"/>
        <w:spacing w:after="160" w:line="259" w:lineRule="auto"/>
        <w:jc w:val="center"/>
        <w:rPr>
          <w:rFonts w:eastAsia="NanumGothic"/>
          <w:b/>
          <w:sz w:val="28"/>
          <w:szCs w:val="28"/>
          <w:lang w:val="kk-KZ"/>
        </w:rPr>
      </w:pPr>
      <w:r w:rsidRPr="00543CE1">
        <w:rPr>
          <w:rFonts w:eastAsia="NanumGothic"/>
          <w:b/>
          <w:sz w:val="28"/>
          <w:szCs w:val="28"/>
          <w:lang w:val="kk-KZ"/>
        </w:rPr>
        <w:t>Өзіңді тан</w:t>
      </w:r>
      <w:r w:rsidR="0074378F">
        <w:rPr>
          <w:rFonts w:eastAsia="NanumGothic"/>
          <w:b/>
          <w:sz w:val="28"/>
          <w:szCs w:val="28"/>
          <w:lang w:val="kk-KZ"/>
        </w:rPr>
        <w:t>ығанда ғана өзгені тани білесің</w:t>
      </w:r>
      <w:bookmarkStart w:id="0" w:name="_GoBack"/>
      <w:bookmarkEnd w:id="0"/>
    </w:p>
    <w:p w:rsidR="009D5640" w:rsidRPr="00235712" w:rsidRDefault="00235712" w:rsidP="0074378F">
      <w:pPr>
        <w:wordWrap w:val="0"/>
        <w:rPr>
          <w:rFonts w:eastAsia="NanumGothic"/>
          <w:sz w:val="28"/>
          <w:szCs w:val="28"/>
          <w:lang w:val="kk-KZ"/>
        </w:rPr>
      </w:pPr>
      <w:r w:rsidRPr="00235712">
        <w:rPr>
          <w:rFonts w:eastAsia="NanumGothic"/>
          <w:sz w:val="28"/>
          <w:szCs w:val="28"/>
          <w:lang w:val="kk-KZ"/>
        </w:rPr>
        <w:t xml:space="preserve"> </w:t>
      </w:r>
      <w:r w:rsidR="00FE0F12" w:rsidRPr="00543CE1">
        <w:rPr>
          <w:rFonts w:eastAsia="NanumGothic"/>
          <w:sz w:val="28"/>
          <w:szCs w:val="28"/>
          <w:lang w:val="kk-KZ"/>
        </w:rPr>
        <w:t xml:space="preserve"> </w:t>
      </w:r>
      <w:r w:rsidR="0074378F">
        <w:rPr>
          <w:rFonts w:eastAsia="NanumGothic"/>
          <w:sz w:val="28"/>
          <w:szCs w:val="28"/>
          <w:lang w:val="kk-KZ"/>
        </w:rPr>
        <w:tab/>
      </w:r>
      <w:r w:rsidR="00FE0F12" w:rsidRPr="00543CE1">
        <w:rPr>
          <w:rFonts w:eastAsia="NanumGothic"/>
          <w:sz w:val="28"/>
          <w:szCs w:val="28"/>
          <w:lang w:val="kk-KZ"/>
        </w:rPr>
        <w:t>«Өзін-өзі тану» пәні баланың ру</w:t>
      </w:r>
      <w:r w:rsidR="00335624" w:rsidRPr="00543CE1">
        <w:rPr>
          <w:rFonts w:eastAsia="NanumGothic"/>
          <w:sz w:val="28"/>
          <w:szCs w:val="28"/>
          <w:lang w:val="kk-KZ"/>
        </w:rPr>
        <w:t>хани әлемін байыта</w:t>
      </w:r>
      <w:r w:rsidR="00FE0F12" w:rsidRPr="00543CE1">
        <w:rPr>
          <w:rFonts w:eastAsia="NanumGothic"/>
          <w:sz w:val="28"/>
          <w:szCs w:val="28"/>
          <w:lang w:val="kk-KZ"/>
        </w:rPr>
        <w:t xml:space="preserve"> отырып, оның  халқымыздың ұлттық құндылықтарынан, рухани мұраларынан, ділінен, тағлымдық ой-толғауларынан </w:t>
      </w:r>
      <w:r w:rsidR="00335624" w:rsidRPr="00543CE1">
        <w:rPr>
          <w:rFonts w:eastAsia="NanumGothic"/>
          <w:sz w:val="28"/>
          <w:szCs w:val="28"/>
          <w:lang w:val="kk-KZ"/>
        </w:rPr>
        <w:t xml:space="preserve">бастау алатыны </w:t>
      </w:r>
      <w:r w:rsidR="00335624" w:rsidRPr="00235712">
        <w:rPr>
          <w:rFonts w:eastAsia="NanumGothic"/>
          <w:sz w:val="28"/>
          <w:szCs w:val="28"/>
          <w:lang w:val="kk-KZ"/>
        </w:rPr>
        <w:t>сөзсіз.</w:t>
      </w:r>
    </w:p>
    <w:p w:rsidR="00335624" w:rsidRPr="00235712" w:rsidRDefault="00335624" w:rsidP="0074378F">
      <w:pPr>
        <w:wordWrap w:val="0"/>
        <w:rPr>
          <w:rFonts w:eastAsia="NanumGothic"/>
          <w:sz w:val="28"/>
          <w:szCs w:val="28"/>
          <w:lang w:val="kk-KZ"/>
        </w:rPr>
      </w:pPr>
      <w:r w:rsidRPr="00235712">
        <w:rPr>
          <w:rFonts w:eastAsia="NanumGothic"/>
          <w:sz w:val="28"/>
          <w:szCs w:val="28"/>
          <w:lang w:val="kk-KZ"/>
        </w:rPr>
        <w:t xml:space="preserve">       </w:t>
      </w:r>
      <w:r w:rsidR="0074378F">
        <w:rPr>
          <w:rFonts w:eastAsia="NanumGothic"/>
          <w:sz w:val="28"/>
          <w:szCs w:val="28"/>
          <w:lang w:val="kk-KZ"/>
        </w:rPr>
        <w:tab/>
      </w:r>
      <w:r w:rsidR="00FE0F12" w:rsidRPr="00235712">
        <w:rPr>
          <w:rFonts w:eastAsia="NanumGothic"/>
          <w:sz w:val="28"/>
          <w:szCs w:val="28"/>
          <w:lang w:val="kk-KZ"/>
        </w:rPr>
        <w:t>Өзін-өзі тану – адамның өзіне терең мән берудің алғашқы қадамы</w:t>
      </w:r>
      <w:r w:rsidRPr="00235712">
        <w:rPr>
          <w:rFonts w:eastAsia="NanumGothic"/>
          <w:sz w:val="28"/>
          <w:szCs w:val="28"/>
          <w:lang w:val="kk-KZ"/>
        </w:rPr>
        <w:t>. О</w:t>
      </w:r>
      <w:r w:rsidR="00FE0F12" w:rsidRPr="00235712">
        <w:rPr>
          <w:rFonts w:eastAsia="NanumGothic"/>
          <w:sz w:val="28"/>
          <w:szCs w:val="28"/>
          <w:lang w:val="kk-KZ"/>
        </w:rPr>
        <w:t>сы айтылғандардың толыққанды іске асуы үшін отбасы мен мектеп тәрбиесі арасындағы</w:t>
      </w:r>
      <w:r w:rsidR="00FE0F12">
        <w:rPr>
          <w:rFonts w:eastAsia="NanumGothic"/>
          <w:sz w:val="28"/>
          <w:szCs w:val="28"/>
          <w:lang w:val="kk-KZ"/>
        </w:rPr>
        <w:t xml:space="preserve"> </w:t>
      </w:r>
      <w:r w:rsidR="00FE0F12" w:rsidRPr="00235712">
        <w:rPr>
          <w:rFonts w:eastAsia="NanumGothic"/>
          <w:sz w:val="28"/>
          <w:szCs w:val="28"/>
          <w:lang w:val="kk-KZ"/>
        </w:rPr>
        <w:t xml:space="preserve"> ынтымақтастық, тығыз байланыс</w:t>
      </w:r>
      <w:r w:rsidRPr="00235712">
        <w:rPr>
          <w:rFonts w:eastAsia="NanumGothic"/>
          <w:sz w:val="28"/>
          <w:szCs w:val="28"/>
          <w:lang w:val="kk-KZ"/>
        </w:rPr>
        <w:t xml:space="preserve">ты </w:t>
      </w:r>
      <w:r w:rsidR="00FE0F12" w:rsidRPr="00235712">
        <w:rPr>
          <w:rFonts w:eastAsia="NanumGothic"/>
          <w:sz w:val="28"/>
          <w:szCs w:val="28"/>
          <w:lang w:val="kk-KZ"/>
        </w:rPr>
        <w:t xml:space="preserve"> қаж</w:t>
      </w:r>
      <w:r w:rsidRPr="00235712">
        <w:rPr>
          <w:rFonts w:eastAsia="NanumGothic"/>
          <w:sz w:val="28"/>
          <w:szCs w:val="28"/>
          <w:lang w:val="kk-KZ"/>
        </w:rPr>
        <w:t>ет етеді.</w:t>
      </w:r>
    </w:p>
    <w:p w:rsidR="009D5640" w:rsidRPr="00235712" w:rsidRDefault="00335624" w:rsidP="0074378F">
      <w:pPr>
        <w:wordWrap w:val="0"/>
        <w:rPr>
          <w:rFonts w:eastAsia="NanumGothic"/>
          <w:sz w:val="28"/>
          <w:szCs w:val="28"/>
          <w:lang w:val="kk-KZ"/>
        </w:rPr>
      </w:pPr>
      <w:r w:rsidRPr="00235712">
        <w:rPr>
          <w:rFonts w:eastAsia="NanumGothic"/>
          <w:sz w:val="28"/>
          <w:szCs w:val="28"/>
          <w:lang w:val="kk-KZ"/>
        </w:rPr>
        <w:t xml:space="preserve">     </w:t>
      </w:r>
      <w:r w:rsidR="0074378F">
        <w:rPr>
          <w:rFonts w:eastAsia="NanumGothic"/>
          <w:sz w:val="28"/>
          <w:szCs w:val="28"/>
          <w:lang w:val="kk-KZ"/>
        </w:rPr>
        <w:tab/>
      </w:r>
      <w:r w:rsidR="00FE0F12" w:rsidRPr="00235712">
        <w:rPr>
          <w:rFonts w:eastAsia="NanumGothic"/>
          <w:sz w:val="28"/>
          <w:szCs w:val="28"/>
          <w:lang w:val="kk-KZ"/>
        </w:rPr>
        <w:t xml:space="preserve">Халқымыздың сан ғасырлық тыныс-тіршілігінің өзіндік ерекшеліктерінен туындаған ұлттық тәлім-тәрбиеге қатысты салт-дәстүр, әдет-ғұрыптары да мол. </w:t>
      </w:r>
      <w:r w:rsidR="00FE0F12" w:rsidRPr="00543CE1">
        <w:rPr>
          <w:rFonts w:eastAsia="NanumGothic"/>
          <w:sz w:val="28"/>
          <w:szCs w:val="28"/>
          <w:lang w:val="kk-KZ"/>
        </w:rPr>
        <w:t>Олардың дені қазіргі этика, педагогика, психология ғылымдары тұжырымдарымен қиюласа, астарласып жатады. Осы саладағы рухани мұрамызды осы күнгі ғылым деңгейіне, оның төңірегіне топтастырып, жүйе-жүйесімен талдауға алсақ, бұлардың өзіндік сыр-сипаты айқындала түседі.</w:t>
      </w:r>
    </w:p>
    <w:p w:rsidR="009D5640" w:rsidRPr="00543CE1" w:rsidRDefault="00B73C65" w:rsidP="0074378F">
      <w:pPr>
        <w:wordWrap w:val="0"/>
        <w:rPr>
          <w:rFonts w:eastAsia="NanumGothic"/>
          <w:sz w:val="28"/>
          <w:szCs w:val="28"/>
          <w:lang w:val="kk-KZ"/>
        </w:rPr>
      </w:pPr>
      <w:r w:rsidRPr="00235712">
        <w:rPr>
          <w:rFonts w:eastAsia="NanumGothic"/>
          <w:sz w:val="28"/>
          <w:szCs w:val="28"/>
          <w:lang w:val="kk-KZ"/>
        </w:rPr>
        <w:t xml:space="preserve">   </w:t>
      </w:r>
      <w:r w:rsidR="0074378F">
        <w:rPr>
          <w:rFonts w:eastAsia="NanumGothic"/>
          <w:sz w:val="28"/>
          <w:szCs w:val="28"/>
          <w:lang w:val="kk-KZ"/>
        </w:rPr>
        <w:tab/>
      </w:r>
      <w:r w:rsidR="00FE0F12" w:rsidRPr="00235712">
        <w:rPr>
          <w:rFonts w:eastAsia="NanumGothic"/>
          <w:sz w:val="28"/>
          <w:szCs w:val="28"/>
          <w:lang w:val="kk-KZ"/>
        </w:rPr>
        <w:t xml:space="preserve">ХХІ ғасырда көтеріліп отырған «Өзін-өзі тану» рухани-адамгершілік білімінің түп тамыры тереңде жатыр. </w:t>
      </w:r>
      <w:r w:rsidR="00FE0F12" w:rsidRPr="00543CE1">
        <w:rPr>
          <w:rFonts w:eastAsia="NanumGothic"/>
          <w:sz w:val="28"/>
          <w:szCs w:val="28"/>
          <w:lang w:val="kk-KZ"/>
        </w:rPr>
        <w:t>Өзін-өзі таныған, өмірдің мәнін түсінген адам, өзін-өзі қадағалап, сынап, өзін-өзі тәрбиелеуге, өмірден өз орнын, өз бақытын табуға ұмтылады. Өзін-өзі тану – адамның шындықты өзінше түсіну жағынан қарастыратын ілім, ол өз бойындағы бірегейлікке сәйкес келетін өзінің жеке құндылықтары жүйесін жалпыадамзаттық құндылықтар жүйесімен ықпалдастыруға бағытталған. «Өзін-өзі тану» рухани-адамгершілік білімі – ұлттық құндылықтарды іске асыру мен таратудың маңызды механизмі, өмірдің мәні мен өнегесі, тарихпен, ана тілімен, философиямен, әдебиетпен, дәстүрмен, психологиямен ұштасқан ұлттық-рухани білім мазмұны мен түрі.</w:t>
      </w:r>
    </w:p>
    <w:p w:rsidR="009D5640" w:rsidRPr="00543CE1" w:rsidRDefault="00B73C65" w:rsidP="0074378F">
      <w:pPr>
        <w:wordWrap w:val="0"/>
        <w:rPr>
          <w:rFonts w:eastAsia="NanumGothic"/>
          <w:sz w:val="28"/>
          <w:szCs w:val="28"/>
          <w:lang w:val="kk-KZ"/>
        </w:rPr>
      </w:pPr>
      <w:r w:rsidRPr="00235712">
        <w:rPr>
          <w:rFonts w:eastAsia="NanumGothic"/>
          <w:sz w:val="28"/>
          <w:szCs w:val="28"/>
          <w:lang w:val="kk-KZ"/>
        </w:rPr>
        <w:t xml:space="preserve">    </w:t>
      </w:r>
      <w:r w:rsidR="0074378F">
        <w:rPr>
          <w:rFonts w:eastAsia="NanumGothic"/>
          <w:sz w:val="28"/>
          <w:szCs w:val="28"/>
          <w:lang w:val="kk-KZ"/>
        </w:rPr>
        <w:tab/>
      </w:r>
      <w:r w:rsidRPr="00235712">
        <w:rPr>
          <w:rFonts w:eastAsia="NanumGothic"/>
          <w:sz w:val="28"/>
          <w:szCs w:val="28"/>
          <w:lang w:val="kk-KZ"/>
        </w:rPr>
        <w:t xml:space="preserve"> </w:t>
      </w:r>
      <w:r w:rsidR="00FE0F12" w:rsidRPr="00543CE1">
        <w:rPr>
          <w:rFonts w:eastAsia="NanumGothic"/>
          <w:sz w:val="28"/>
          <w:szCs w:val="28"/>
          <w:lang w:val="kk-KZ"/>
        </w:rPr>
        <w:t>«Халықтан асқан ұлы ұстаз жоқ» дейтін болсақ, ұлттық рухани мұралар – ұрпақтың рухани-адамгершілік азығын жетілдіретін негізгі өзегі болмақ.</w:t>
      </w:r>
    </w:p>
    <w:p w:rsidR="009D5640" w:rsidRPr="00543CE1" w:rsidRDefault="00FE0F12" w:rsidP="0074378F">
      <w:pPr>
        <w:wordWrap w:val="0"/>
        <w:rPr>
          <w:rFonts w:eastAsia="NanumGothic"/>
          <w:sz w:val="28"/>
          <w:szCs w:val="28"/>
          <w:lang w:val="kk-KZ"/>
        </w:rPr>
      </w:pPr>
      <w:r>
        <w:rPr>
          <w:rFonts w:eastAsia="NanumGothic"/>
          <w:sz w:val="28"/>
          <w:szCs w:val="28"/>
          <w:lang w:val="kk-KZ"/>
        </w:rPr>
        <w:t xml:space="preserve">   </w:t>
      </w:r>
      <w:r w:rsidR="0074378F">
        <w:rPr>
          <w:rFonts w:eastAsia="NanumGothic"/>
          <w:sz w:val="28"/>
          <w:szCs w:val="28"/>
          <w:lang w:val="kk-KZ"/>
        </w:rPr>
        <w:tab/>
      </w:r>
      <w:r w:rsidRPr="00543CE1">
        <w:rPr>
          <w:rFonts w:eastAsia="NanumGothic"/>
          <w:sz w:val="28"/>
          <w:szCs w:val="28"/>
          <w:lang w:val="kk-KZ"/>
        </w:rPr>
        <w:t>Рухани байлыққа апаратын жолдың бірі – білім, екіншісі – сол білімді пайдаға асыру. Адам алғаш білімнің құндылығына сүйене отырып, өз ортасын жақсы жағынан өзгертуге әрекет жасайды. Өйткені рухани жетілудің шыңына көтерілген адам өмірдің мәні мен мағынасын жай ғана түсініп қоймай, жер бетінде ізгілік орнатуға күш салады. Қандай да болсын адамдықты, адамгершілікті бетке ұстаған қоғамның мақсаты - әр адамды рухани байлық деңгейіне жеткізу.</w:t>
      </w:r>
    </w:p>
    <w:p w:rsidR="009D5640" w:rsidRPr="00543CE1" w:rsidRDefault="00FE0F12" w:rsidP="0074378F">
      <w:pPr>
        <w:wordWrap w:val="0"/>
        <w:rPr>
          <w:rFonts w:eastAsia="NanumGothic"/>
          <w:sz w:val="28"/>
          <w:szCs w:val="28"/>
          <w:lang w:val="kk-KZ"/>
        </w:rPr>
      </w:pPr>
      <w:r>
        <w:rPr>
          <w:rFonts w:eastAsia="NanumGothic"/>
          <w:sz w:val="28"/>
          <w:szCs w:val="28"/>
          <w:lang w:val="kk-KZ"/>
        </w:rPr>
        <w:t xml:space="preserve">  </w:t>
      </w:r>
      <w:r w:rsidR="00235712" w:rsidRPr="00235712">
        <w:rPr>
          <w:rFonts w:eastAsia="NanumGothic"/>
          <w:sz w:val="28"/>
          <w:szCs w:val="28"/>
          <w:lang w:val="kk-KZ"/>
        </w:rPr>
        <w:t xml:space="preserve"> </w:t>
      </w:r>
      <w:r w:rsidR="0074378F">
        <w:rPr>
          <w:rFonts w:eastAsia="NanumGothic"/>
          <w:sz w:val="28"/>
          <w:szCs w:val="28"/>
          <w:lang w:val="kk-KZ"/>
        </w:rPr>
        <w:tab/>
      </w:r>
      <w:r w:rsidRPr="00FE0F12">
        <w:rPr>
          <w:rFonts w:eastAsia="NanumGothic"/>
          <w:sz w:val="28"/>
          <w:szCs w:val="28"/>
          <w:lang w:val="kk-KZ"/>
        </w:rPr>
        <w:t xml:space="preserve">Бүгінгі жас ұрпақты оқытып қана қою аз, оны жан-жақты дамыту, жаңаша дағдыларға тәрбиелеу қажет. </w:t>
      </w:r>
      <w:r w:rsidRPr="00543CE1">
        <w:rPr>
          <w:rFonts w:eastAsia="NanumGothic"/>
          <w:sz w:val="28"/>
          <w:szCs w:val="28"/>
          <w:lang w:val="kk-KZ"/>
        </w:rPr>
        <w:t>Әлемдік даму, ғылыми технология адамның ұшқыр ойлы, терең білімді, озық тәрбиелі болуын талап етеді. Сондықтан рухани-адамгершілік тұрғысынан білім беру әр тұлғаның азаматтық келбетінің жоғары болып, олардың кез келген ортада белсенділік көрсете алатын қабілеттерін жетілдіруді көздейді.</w:t>
      </w:r>
    </w:p>
    <w:p w:rsidR="009D5640" w:rsidRPr="00235712" w:rsidRDefault="00235712" w:rsidP="0074378F">
      <w:pPr>
        <w:wordWrap w:val="0"/>
        <w:rPr>
          <w:rFonts w:eastAsia="NanumGothic"/>
          <w:sz w:val="28"/>
          <w:szCs w:val="28"/>
          <w:lang w:val="kk-KZ"/>
        </w:rPr>
      </w:pPr>
      <w:r>
        <w:rPr>
          <w:rFonts w:eastAsia="NanumGothic"/>
          <w:sz w:val="28"/>
          <w:szCs w:val="28"/>
          <w:lang w:val="kk-KZ"/>
        </w:rPr>
        <w:tab/>
      </w:r>
      <w:r w:rsidR="00FE0F12" w:rsidRPr="00235712">
        <w:rPr>
          <w:rFonts w:eastAsia="NanumGothic"/>
          <w:sz w:val="28"/>
          <w:szCs w:val="28"/>
          <w:lang w:val="kk-KZ"/>
        </w:rPr>
        <w:t xml:space="preserve">Бүгінгі күні біздің елімізде ұлттық және азаматтық құндылықтардың негізінде жеке тұлғаны қалыптастыру және дамыту, </w:t>
      </w:r>
      <w:r w:rsidR="00FE0F12" w:rsidRPr="00235712">
        <w:rPr>
          <w:rFonts w:eastAsia="NanumGothic"/>
          <w:sz w:val="28"/>
          <w:szCs w:val="28"/>
          <w:lang w:val="kk-KZ"/>
        </w:rPr>
        <w:lastRenderedPageBreak/>
        <w:t xml:space="preserve">жеке адамның рухани күш-қуат мүмкіндіктерін ашу, адамгершілік пен салауатты өмір салтын қалыптастыру үшін қажетті жағдайлардың барлығы да жасалуда. </w:t>
      </w:r>
      <w:r w:rsidR="00FE0F12" w:rsidRPr="00543CE1">
        <w:rPr>
          <w:rFonts w:eastAsia="NanumGothic"/>
          <w:sz w:val="28"/>
          <w:szCs w:val="28"/>
          <w:lang w:val="kk-KZ"/>
        </w:rPr>
        <w:t>Тәрбиенің басты мақсаты - әр адамның ішкі құндылығын, тұлғалық қасиетін ашып, бағалауға үйрету</w:t>
      </w:r>
      <w:r w:rsidRPr="00235712">
        <w:rPr>
          <w:rFonts w:eastAsia="NanumGothic"/>
          <w:sz w:val="28"/>
          <w:szCs w:val="28"/>
          <w:lang w:val="kk-KZ"/>
        </w:rPr>
        <w:t>.</w:t>
      </w:r>
    </w:p>
    <w:p w:rsidR="009D5640" w:rsidRDefault="00235712" w:rsidP="0074378F">
      <w:pPr>
        <w:wordWrap w:val="0"/>
        <w:rPr>
          <w:rFonts w:eastAsia="NanumGothic"/>
          <w:sz w:val="28"/>
          <w:szCs w:val="28"/>
          <w:lang w:val="kk-KZ"/>
        </w:rPr>
      </w:pPr>
      <w:r w:rsidRPr="00235712">
        <w:rPr>
          <w:rFonts w:eastAsia="NanumGothic"/>
          <w:sz w:val="28"/>
          <w:szCs w:val="28"/>
          <w:lang w:val="kk-KZ"/>
        </w:rPr>
        <w:t xml:space="preserve">  </w:t>
      </w:r>
      <w:r>
        <w:rPr>
          <w:rFonts w:eastAsia="NanumGothic"/>
          <w:sz w:val="28"/>
          <w:szCs w:val="28"/>
          <w:lang w:val="kk-KZ"/>
        </w:rPr>
        <w:tab/>
      </w:r>
      <w:r w:rsidR="00FE0F12" w:rsidRPr="00235712">
        <w:rPr>
          <w:rFonts w:eastAsia="NanumGothic"/>
          <w:sz w:val="28"/>
          <w:szCs w:val="28"/>
          <w:lang w:val="kk-KZ"/>
        </w:rPr>
        <w:t xml:space="preserve">Бұл пән жобасының авторы Сара Алпысқызы атап өткендей, «Әр баланың қабілетін ашуы, өзіне жол табуы, өзінің күш-жігеріне сенуі өзінің өмірдегі орнын анықтау үшін өте маңызды! </w:t>
      </w:r>
      <w:r w:rsidR="00FE0F12" w:rsidRPr="00543CE1">
        <w:rPr>
          <w:rFonts w:eastAsia="NanumGothic"/>
          <w:sz w:val="28"/>
          <w:szCs w:val="28"/>
          <w:lang w:val="kk-KZ"/>
        </w:rPr>
        <w:t>Әлемде махаббат пен мейірімділік аурасын жасай отырып, қарапайымдылық пен махаббат жүректен жүрекке жетуі тиіс», яғни әрбір баланың, ата-ананың жүрегіне жылылық нұрын ұялатуда әрқайсымыздың орнымыз ерекше.</w:t>
      </w:r>
    </w:p>
    <w:p w:rsidR="005153A4" w:rsidRDefault="005153A4" w:rsidP="0074378F">
      <w:pPr>
        <w:wordWrap w:val="0"/>
        <w:rPr>
          <w:rFonts w:eastAsia="NanumGothic"/>
          <w:sz w:val="28"/>
          <w:szCs w:val="28"/>
          <w:lang w:val="kk-KZ"/>
        </w:rPr>
      </w:pPr>
    </w:p>
    <w:p w:rsidR="005153A4" w:rsidRDefault="005153A4" w:rsidP="0074378F">
      <w:pPr>
        <w:wordWrap w:val="0"/>
        <w:rPr>
          <w:rFonts w:eastAsia="NanumGothic"/>
          <w:sz w:val="28"/>
          <w:szCs w:val="28"/>
          <w:lang w:val="kk-KZ"/>
        </w:rPr>
      </w:pPr>
    </w:p>
    <w:p w:rsidR="005153A4" w:rsidRDefault="005153A4" w:rsidP="0074378F">
      <w:pPr>
        <w:wordWrap w:val="0"/>
        <w:jc w:val="right"/>
        <w:rPr>
          <w:rFonts w:eastAsia="NanumGothic"/>
          <w:sz w:val="28"/>
          <w:szCs w:val="28"/>
          <w:lang w:val="kk-KZ"/>
        </w:rPr>
      </w:pPr>
      <w:r>
        <w:rPr>
          <w:rFonts w:eastAsia="NanumGothic"/>
          <w:sz w:val="28"/>
          <w:szCs w:val="28"/>
          <w:lang w:val="kk-KZ"/>
        </w:rPr>
        <w:t xml:space="preserve">                                                                                         Маденова Ш.С.</w:t>
      </w:r>
    </w:p>
    <w:p w:rsidR="0074378F" w:rsidRDefault="0074378F" w:rsidP="0074378F">
      <w:pPr>
        <w:wordWrap w:val="0"/>
        <w:jc w:val="right"/>
        <w:rPr>
          <w:rFonts w:eastAsia="NanumGothic"/>
          <w:sz w:val="28"/>
          <w:szCs w:val="28"/>
          <w:lang w:val="kk-KZ"/>
        </w:rPr>
      </w:pPr>
      <w:r>
        <w:rPr>
          <w:rFonts w:eastAsia="NanumGothic"/>
          <w:sz w:val="28"/>
          <w:szCs w:val="28"/>
          <w:lang w:val="kk-KZ"/>
        </w:rPr>
        <w:t>Бастауыш сынып мұғалімі</w:t>
      </w:r>
    </w:p>
    <w:p w:rsidR="0074378F" w:rsidRDefault="0074378F" w:rsidP="0074378F">
      <w:pPr>
        <w:wordWrap w:val="0"/>
        <w:jc w:val="right"/>
        <w:rPr>
          <w:rFonts w:eastAsia="NanumGothic"/>
          <w:sz w:val="28"/>
          <w:szCs w:val="28"/>
          <w:lang w:val="kk-KZ"/>
        </w:rPr>
      </w:pPr>
      <w:r>
        <w:rPr>
          <w:rFonts w:eastAsia="NanumGothic"/>
          <w:sz w:val="28"/>
          <w:szCs w:val="28"/>
          <w:lang w:val="kk-KZ"/>
        </w:rPr>
        <w:t>Степной орта мектебі</w:t>
      </w:r>
    </w:p>
    <w:p w:rsidR="0074378F" w:rsidRPr="00543CE1" w:rsidRDefault="0074378F" w:rsidP="0074378F">
      <w:pPr>
        <w:wordWrap w:val="0"/>
        <w:jc w:val="right"/>
        <w:rPr>
          <w:rFonts w:eastAsia="NanumGothic"/>
          <w:sz w:val="28"/>
          <w:szCs w:val="28"/>
          <w:lang w:val="kk-KZ"/>
        </w:rPr>
      </w:pPr>
    </w:p>
    <w:p w:rsidR="009D5640" w:rsidRPr="00543CE1" w:rsidRDefault="009D5640">
      <w:pPr>
        <w:wordWrap w:val="0"/>
        <w:spacing w:after="160" w:line="259" w:lineRule="auto"/>
        <w:rPr>
          <w:rFonts w:eastAsia="NanumGothic"/>
          <w:sz w:val="28"/>
          <w:szCs w:val="28"/>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235712" w:rsidRDefault="00235712">
      <w:pPr>
        <w:wordWrap w:val="0"/>
        <w:spacing w:after="160" w:line="259" w:lineRule="auto"/>
        <w:rPr>
          <w:rFonts w:ascii="NanumGothic" w:eastAsia="NanumGothic" w:hAnsi="NanumGothic"/>
          <w:lang w:val="kk-KZ"/>
        </w:rPr>
      </w:pPr>
    </w:p>
    <w:p w:rsidR="009D5640" w:rsidRDefault="00FE0F12">
      <w:pPr>
        <w:wordWrap w:val="0"/>
        <w:spacing w:after="160" w:line="259" w:lineRule="auto"/>
        <w:rPr>
          <w:rFonts w:ascii="NanumGothic" w:eastAsia="NanumGothic" w:hAnsi="NanumGothic"/>
        </w:rPr>
      </w:pPr>
      <w:r>
        <w:rPr>
          <w:rFonts w:ascii="NanumGothic" w:eastAsia="NanumGothic" w:hAnsi="NanumGothic"/>
        </w:rPr>
        <w:t xml:space="preserve"> </w:t>
      </w:r>
    </w:p>
    <w:sectPr w:rsidR="009D5640" w:rsidSect="00235712">
      <w:endnotePr>
        <w:numFmt w:val="decimal"/>
      </w:endnotePr>
      <w:pgSz w:w="11906" w:h="16838"/>
      <w:pgMar w:top="85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NanumGothic">
    <w:altName w:val="Arial Unicode MS"/>
    <w:charset w:val="00"/>
    <w:family w:val="auto"/>
    <w:pitch w:val="variable"/>
    <w:sig w:usb0="00000000" w:usb1="4000207B" w:usb2="00000000" w:usb3="00000000" w:csb0="FFFFFF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endnotePr>
    <w:numFmt w:val="decimal"/>
  </w:endnotePr>
  <w:compat>
    <w:balanceSingleByteDoubleByteWidth/>
    <w:doNotExpandShiftReturn/>
    <w:compatSetting w:name="compatibilityMode" w:uri="http://schemas.microsoft.com/office/word" w:val="12"/>
  </w:compat>
  <w:rsids>
    <w:rsidRoot w:val="009D5640"/>
    <w:rsid w:val="00235712"/>
    <w:rsid w:val="00335624"/>
    <w:rsid w:val="00351927"/>
    <w:rsid w:val="005153A4"/>
    <w:rsid w:val="00543CE1"/>
    <w:rsid w:val="006D3849"/>
    <w:rsid w:val="0074378F"/>
    <w:rsid w:val="009D5640"/>
    <w:rsid w:val="00B73C65"/>
    <w:rsid w:val="00D4620B"/>
    <w:rsid w:val="00DD5656"/>
    <w:rsid w:val="00FE0F12"/>
  </w:rsids>
  <m:mathPr>
    <m:mathFont m:val="Cambria Math"/>
    <m:brkBin m:val="before"/>
    <m:brkBinSub m:val="--"/>
    <m:smallFrac/>
    <m:dispDef/>
    <m:lMargin m:val="1440"/>
    <m:rMargin m:val="144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564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407</Words>
  <Characters>3058</Characters>
  <Application>Microsoft Office Word</Application>
  <DocSecurity>0</DocSecurity>
  <Lines>25</Lines>
  <Paragraphs>6</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sotel3333</dc:creator>
  <cp:lastModifiedBy>Priemnaya</cp:lastModifiedBy>
  <cp:revision>3</cp:revision>
  <dcterms:created xsi:type="dcterms:W3CDTF">2017-05-14T14:53:00Z</dcterms:created>
  <dcterms:modified xsi:type="dcterms:W3CDTF">2017-05-15T03:47:00Z</dcterms:modified>
</cp:coreProperties>
</file>